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0"/>
        <w:jc w:val="center"/>
      </w:pPr>
      <w:r>
        <w:rPr>
          <w:rFonts w:ascii="Times New Roman" w:cs="Times New Roman" w:eastAsia="Times New Roman" w:hAnsi="Times New Roman"/>
          <w:b/>
          <w:bCs/>
          <w:sz w:val="22"/>
          <w:szCs w:val="22"/>
        </w:rPr>
        <w:t xml:space="preserve">UBND TỈNH THÁI NGUYÊN - SỞ XÂY DỰNG</w:t>
      </w:r>
    </w:p>
    <w:p>
      <w:pPr>
        <w:spacing w:after="100" w:before="0"/>
        <w:jc w:val="center"/>
      </w:pPr>
      <w:r>
        <w:rPr>
          <w:rFonts w:ascii="Times New Roman" w:cs="Times New Roman" w:eastAsia="Times New Roman" w:hAnsi="Times New Roman"/>
          <w:b/>
          <w:bCs/>
          <w:sz w:val="22"/>
          <w:szCs w:val="22"/>
        </w:rPr>
        <w:t xml:space="preserve">CỘNG HOÀ XÃ HỘI CHỦ NGHĨA VIỆT NAM</w:t>
      </w:r>
    </w:p>
    <w:p>
      <w:pPr>
        <w:spacing w:after="300" w:before="0"/>
        <w:jc w:val="center"/>
      </w:pPr>
      <w:r>
        <w:rPr>
          <w:rFonts w:ascii="Times New Roman" w:cs="Times New Roman" w:eastAsia="Times New Roman" w:hAnsi="Times New Roman"/>
          <w:i/>
          <w:iCs/>
          <w:sz w:val="22"/>
          <w:szCs w:val="22"/>
        </w:rPr>
        <w:t xml:space="preserve">Độc lập - Tự do - Hạnh phúc</w:t>
      </w:r>
    </w:p>
    <w:p>
      <w:pPr>
        <w:spacing w:after="120" w:before="0"/>
        <w:jc w:val="center"/>
      </w:pPr>
      <w:r>
        <w:rPr>
          <w:rFonts w:ascii="Times New Roman" w:cs="Times New Roman" w:eastAsia="Times New Roman" w:hAnsi="Times New Roman"/>
          <w:b/>
          <w:bCs/>
          <w:sz w:val="26"/>
          <w:szCs w:val="26"/>
        </w:rPr>
        <w:t xml:space="preserve">BẢN SO SÁNH, THUYẾT MINH DỰ THẢO VĂN BẢN QUY PHẠM PHÁP LUẬT SỬA ĐỔI, BỔ SUNG, THAY THẾ</w:t>
      </w:r>
    </w:p>
    <w:p>
      <w:pPr>
        <w:spacing w:after="80" w:before="0"/>
        <w:jc w:val="center"/>
      </w:pPr>
      <w:r>
        <w:rPr>
          <w:rFonts w:ascii="Times New Roman" w:cs="Times New Roman" w:eastAsia="Times New Roman" w:hAnsi="Times New Roman"/>
          <w:b/>
          <w:bCs/>
          <w:sz w:val="24"/>
          <w:szCs w:val="24"/>
        </w:rPr>
        <w:t xml:space="preserve">Quyết định Sửa đổi một số điều của Quy định ban hành kèm theo Quyết định số 47/2024/QĐ-UBND ngày 14 tháng 11 năm 2024</w:t>
      </w:r>
    </w:p>
    <w:p>
      <w:pPr>
        <w:spacing w:after="80" w:before="0"/>
        <w:jc w:val="center"/>
      </w:pPr>
      <w:r>
        <w:rPr>
          <w:rFonts w:ascii="Times New Roman" w:cs="Times New Roman" w:eastAsia="Times New Roman" w:hAnsi="Times New Roman"/>
          <w:sz w:val="22"/>
          <w:szCs w:val="22"/>
        </w:rPr>
        <w:t xml:space="preserve">của Ủy ban nhân dân tỉnh Thái Nguyên về bàn giao, quản lý và phân cấp tiếp nhận bàn giao đối với các công trình hạ tầng</w:t>
      </w:r>
    </w:p>
    <w:p>
      <w:pPr>
        <w:spacing w:after="80" w:before="0"/>
        <w:jc w:val="center"/>
      </w:pPr>
      <w:r>
        <w:rPr>
          <w:rFonts w:ascii="Times New Roman" w:cs="Times New Roman" w:eastAsia="Times New Roman" w:hAnsi="Times New Roman"/>
          <w:sz w:val="22"/>
          <w:szCs w:val="22"/>
        </w:rPr>
        <w:t xml:space="preserve">thuộc các dự án đầu tư xây dựng khu đô thị, khu nhà ở, khu dân cư trên địa bàn tỉnh</w:t>
      </w:r>
    </w:p>
    <w:p>
      <w:pPr>
        <w:spacing w:after="300" w:before="0"/>
        <w:jc w:val="center"/>
      </w:pPr>
      <w:r>
        <w:rPr>
          <w:rFonts w:ascii="Times New Roman" w:cs="Times New Roman" w:eastAsia="Times New Roman" w:hAnsi="Times New Roman"/>
          <w:i/>
          <w:iCs/>
          <w:sz w:val="20"/>
          <w:szCs w:val="20"/>
        </w:rPr>
        <w:t xml:space="preserve">(Kèm theo Hồ sơ xin ý kiến đối với Dự thảo Quyết định Sửa đổi một số điều của Quy định ban hành kèm theo Quyết định số 47/2024/QĐ-UBND)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960"/>
        <w:gridCol w:w="3200"/>
        <w:gridCol w:w="3200"/>
      </w:tblGrid>
      <w:tr>
        <w:tc>
          <w:tcPr>
            <w:tcW w:type="dxa" w:w="2960"/>
            <w:tcBorders>
              <w:top w:val="single" w:color="000000" w:sz="4"/>
              <w:left w:val="single" w:color="000000" w:sz="4"/>
              <w:bottom w:val="single" w:color="000000" w:sz="4"/>
              <w:right w:val="single" w:color="000000" w:sz="4"/>
            </w:tcBorders>
            <w:shd w:fill="D9E1F2" w:val="clear"/>
            <w:tcMar>
              <w:top w:type="dxa" w:w="80"/>
              <w:left w:type="dxa" w:w="120"/>
              <w:bottom w:type="dxa" w:w="80"/>
              <w:right w:type="dxa" w:w="120"/>
            </w:tcMar>
            <w:vAlign w:val="center"/>
          </w:tcPr>
          <w:p>
            <w:pPr>
              <w:jc w:val="center"/>
            </w:pPr>
            <w:r>
              <w:rPr>
                <w:rFonts w:ascii="Times New Roman" w:cs="Times New Roman" w:eastAsia="Times New Roman" w:hAnsi="Times New Roman"/>
                <w:b/>
                <w:bCs/>
                <w:sz w:val="20"/>
                <w:szCs w:val="20"/>
              </w:rPr>
              <w:t xml:space="preserve">Quyết định số 47/2024/QĐ-UBND ngày 14/11/2024 của UBND tỉnh</w:t>
            </w:r>
          </w:p>
        </w:tc>
        <w:tc>
          <w:tcPr>
            <w:tcW w:type="dxa" w:w="3200"/>
            <w:tcBorders>
              <w:top w:val="single" w:color="000000" w:sz="4"/>
              <w:left w:val="single" w:color="000000" w:sz="4"/>
              <w:bottom w:val="single" w:color="000000" w:sz="4"/>
              <w:right w:val="single" w:color="000000" w:sz="4"/>
            </w:tcBorders>
            <w:shd w:fill="D9E1F2" w:val="clear"/>
            <w:tcMar>
              <w:top w:type="dxa" w:w="80"/>
              <w:left w:type="dxa" w:w="120"/>
              <w:bottom w:type="dxa" w:w="80"/>
              <w:right w:type="dxa" w:w="120"/>
            </w:tcMar>
            <w:vAlign w:val="center"/>
          </w:tcPr>
          <w:p>
            <w:pPr>
              <w:jc w:val="center"/>
            </w:pPr>
            <w:r>
              <w:rPr>
                <w:rFonts w:ascii="Times New Roman" w:cs="Times New Roman" w:eastAsia="Times New Roman" w:hAnsi="Times New Roman"/>
                <w:b/>
                <w:bCs/>
                <w:sz w:val="20"/>
                <w:szCs w:val="20"/>
              </w:rPr>
              <w:t xml:space="preserve">Dự thảo Quyết định Sửa đổi một số điều của Quy định ban hành kèm theo Quyết định số 47/2024/QĐ-UBND của UBND tỉnh</w:t>
            </w:r>
          </w:p>
        </w:tc>
        <w:tc>
          <w:tcPr>
            <w:tcW w:type="dxa" w:w="3200"/>
            <w:tcBorders>
              <w:top w:val="single" w:color="000000" w:sz="4"/>
              <w:left w:val="single" w:color="000000" w:sz="4"/>
              <w:bottom w:val="single" w:color="000000" w:sz="4"/>
              <w:right w:val="single" w:color="000000" w:sz="4"/>
            </w:tcBorders>
            <w:shd w:fill="D9E1F2" w:val="clear"/>
            <w:tcMar>
              <w:top w:type="dxa" w:w="80"/>
              <w:left w:type="dxa" w:w="120"/>
              <w:bottom w:type="dxa" w:w="80"/>
              <w:right w:type="dxa" w:w="120"/>
            </w:tcMar>
            <w:vAlign w:val="center"/>
          </w:tcPr>
          <w:p>
            <w:pPr>
              <w:jc w:val="center"/>
            </w:pPr>
            <w:r>
              <w:rPr>
                <w:rFonts w:ascii="Times New Roman" w:cs="Times New Roman" w:eastAsia="Times New Roman" w:hAnsi="Times New Roman"/>
                <w:b/>
                <w:bCs/>
                <w:sz w:val="20"/>
                <w:szCs w:val="20"/>
              </w:rPr>
              <w:t xml:space="preserve">THUYẾT MINH</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Phần mở đầu và căn cứ ban hành</w:t>
            </w:r>
          </w:p>
          <w:p>
            <w:r>
              <w:rPr>
                <w:rFonts w:ascii="Times New Roman" w:cs="Times New Roman" w:eastAsia="Times New Roman" w:hAnsi="Times New Roman"/>
                <w:i/>
                <w:iCs/>
                <w:sz w:val="20"/>
                <w:szCs w:val="20"/>
              </w:rPr>
              <w:t xml:space="preserve">Căn cứ Luật Tổ chức chính quyền địa phương ngày 19 tháng 6 năm 2015;</w:t>
            </w:r>
          </w:p>
          <w:p>
            <w:r>
              <w:rPr>
                <w:rFonts w:ascii="Times New Roman" w:cs="Times New Roman" w:eastAsia="Times New Roman" w:hAnsi="Times New Roman"/>
                <w:i/>
                <w:iCs/>
                <w:sz w:val="20"/>
                <w:szCs w:val="20"/>
              </w:rPr>
              <w:t xml:space="preserve">Căn cứ Nghị định số 15/2021/NĐ-CP ngày 03/3/2021 của Chính phủ quy định chi tiết một số nội dung về quản lý dự án đầu tư xây dựng;</w:t>
            </w:r>
          </w:p>
          <w:p>
            <w:r>
              <w:rPr>
                <w:rFonts w:ascii="Times New Roman" w:cs="Times New Roman" w:eastAsia="Times New Roman" w:hAnsi="Times New Roman"/>
                <w:i/>
                <w:iCs/>
                <w:sz w:val="20"/>
                <w:szCs w:val="20"/>
              </w:rPr>
              <w:t xml:space="preserve">Căn cứ Nghị định số 64/2010/NĐ-CP ngày 11/6/2010 của Chính phủ về quản lý cây xanh đô thị;</w:t>
            </w:r>
          </w:p>
          <w:p>
            <w:r>
              <w:rPr>
                <w:rFonts w:ascii="Times New Roman" w:cs="Times New Roman" w:eastAsia="Times New Roman" w:hAnsi="Times New Roman"/>
                <w:i/>
                <w:iCs/>
                <w:sz w:val="20"/>
                <w:szCs w:val="20"/>
              </w:rPr>
              <w:t xml:space="preserve">(Không có căn cứ Nghị định về phân định thẩm quyền 02 cấp)</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Phần mở đầu và căn cứ ban hành (sửa đổi, bổ sung)</w:t>
            </w:r>
          </w:p>
          <w:p>
            <w:r>
              <w:rPr>
                <w:rFonts w:ascii="Times New Roman" w:cs="Times New Roman" w:eastAsia="Times New Roman" w:hAnsi="Times New Roman"/>
                <w:i/>
                <w:iCs/>
                <w:sz w:val="20"/>
                <w:szCs w:val="20"/>
              </w:rPr>
              <w:t xml:space="preserve">Căn cứ Luật Tổ chức chính quyền địa phương số 72/2025/QH15;</w:t>
            </w:r>
          </w:p>
          <w:p>
            <w:r>
              <w:rPr>
                <w:rFonts w:ascii="Times New Roman" w:cs="Times New Roman" w:eastAsia="Times New Roman" w:hAnsi="Times New Roman"/>
                <w:i/>
                <w:iCs/>
                <w:sz w:val="20"/>
                <w:szCs w:val="20"/>
              </w:rPr>
              <w:t xml:space="preserve">Căn cứ Nghị định số 175/2024/NĐ-CP ngày 30/12/2024 của Chính phủ quy định chi tiết một số nội dung về quản lý dự án đầu tư xây dựng;</w:t>
            </w:r>
          </w:p>
          <w:p>
            <w:r>
              <w:rPr>
                <w:rFonts w:ascii="Times New Roman" w:cs="Times New Roman" w:eastAsia="Times New Roman" w:hAnsi="Times New Roman"/>
                <w:i/>
                <w:iCs/>
                <w:sz w:val="20"/>
                <w:szCs w:val="20"/>
              </w:rPr>
              <w:t xml:space="preserve">Căn cứ Nghị định số 258/2025/NĐ-CP ngày 09/10/2025 của Chính phủ về quản lý công viên, cây xanh, mặt nước;</w:t>
            </w:r>
          </w:p>
          <w:p>
            <w:r>
              <w:rPr>
                <w:rFonts w:ascii="Times New Roman" w:cs="Times New Roman" w:eastAsia="Times New Roman" w:hAnsi="Times New Roman"/>
                <w:i/>
                <w:iCs/>
                <w:sz w:val="20"/>
                <w:szCs w:val="20"/>
              </w:rPr>
              <w:t xml:space="preserve">Căn cứ Nghị định số 186/2025/NĐ-CP ngày 01/7/2025 của Chính phủ quy định chi tiết một số điều của Luật Quản lý, sử dụng tài sản công;</w:t>
            </w:r>
          </w:p>
          <w:p>
            <w:r>
              <w:rPr>
                <w:rFonts w:ascii="Times New Roman" w:cs="Times New Roman" w:eastAsia="Times New Roman" w:hAnsi="Times New Roman"/>
                <w:i/>
                <w:iCs/>
                <w:sz w:val="20"/>
                <w:szCs w:val="20"/>
              </w:rPr>
              <w:t xml:space="preserve">Căn cứ Nghị định số 140/2025/NĐ-CP ngày 12/6/2025 của Chính phủ về phân định thẩm quyền của chính quyền địa phương 02 cấp trong lĩnh vực quản lý nhà nước của Bộ Xây dựng;</w:t>
            </w:r>
          </w:p>
          <w:p>
            <w:r>
              <w:rPr>
                <w:rFonts w:ascii="Times New Roman" w:cs="Times New Roman" w:eastAsia="Times New Roman" w:hAnsi="Times New Roman"/>
                <w:i/>
                <w:iCs/>
                <w:sz w:val="20"/>
                <w:szCs w:val="20"/>
              </w:rPr>
              <w:t xml:space="preserve">Căn cứ Nghị định số 144/2025/NĐ-CP ngày 12/6/2025 của Chính phủ về quy định về phân quyền, phân cấp trong lĩnh vực quản lý nhà nước của Bộ Xây dựng.</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I. Sửa đổi căn cứ pháp lý</w:t>
            </w:r>
          </w:p>
          <w:p>
            <w:r>
              <w:rPr>
                <w:rFonts w:ascii="Times New Roman" w:cs="Times New Roman" w:eastAsia="Times New Roman" w:hAnsi="Times New Roman"/>
                <w:sz w:val="20"/>
                <w:szCs w:val="20"/>
              </w:rPr>
              <w:t xml:space="preserve">1. Thay thế Luật Tổ chức chính quyền địa phương năm 2015 bằng Luật số 72/2025/QH15 do Luật mới được Quốc hội thông qua, thay thế Luật năm 2015.</w:t>
            </w:r>
          </w:p>
          <w:p>
            <w:r>
              <w:rPr>
                <w:rFonts w:ascii="Times New Roman" w:cs="Times New Roman" w:eastAsia="Times New Roman" w:hAnsi="Times New Roman"/>
                <w:sz w:val="20"/>
                <w:szCs w:val="20"/>
              </w:rPr>
              <w:t xml:space="preserve">2. Thay thế Nghị định số 15/2021/NĐ-CP bằng Nghị định số 175/2024/NĐ-CP là văn bản mới thay thế, quy định chi tiết hơn về quản lý dự án đầu tư xây dựng.</w:t>
            </w:r>
          </w:p>
          <w:p>
            <w:r>
              <w:rPr>
                <w:rFonts w:ascii="Times New Roman" w:cs="Times New Roman" w:eastAsia="Times New Roman" w:hAnsi="Times New Roman"/>
                <w:sz w:val="20"/>
                <w:szCs w:val="20"/>
              </w:rPr>
              <w:t xml:space="preserve">3. Thay thế Nghị định số 64/2010/NĐ-CP bằng Nghị định số 258/2025/NĐ-CP quy định về quản lý công viên, cây xanh, mặt nước phù hợp với mô hình chính quyền địa phương 02 cấp.</w:t>
            </w:r>
          </w:p>
          <w:p>
            <w:r>
              <w:rPr>
                <w:rFonts w:ascii="Times New Roman" w:cs="Times New Roman" w:eastAsia="Times New Roman" w:hAnsi="Times New Roman"/>
                <w:sz w:val="20"/>
                <w:szCs w:val="20"/>
              </w:rPr>
              <w:t xml:space="preserve">4. Bổ sung Nghị định số 186/2025/NĐ-CP thay thế Nghị định số 151/2017/NĐ-CP về quản lý, sử dụng tài sản công.</w:t>
            </w:r>
          </w:p>
          <w:p>
            <w:r>
              <w:rPr>
                <w:rFonts w:ascii="Times New Roman" w:cs="Times New Roman" w:eastAsia="Times New Roman" w:hAnsi="Times New Roman"/>
                <w:sz w:val="20"/>
                <w:szCs w:val="20"/>
              </w:rPr>
              <w:t xml:space="preserve">5. Bổ sung Nghị định số 140/2025/NĐ-CP và Nghị định số 144/2025/NĐ-CP về phân định thẩm quyền và phân quyền, phân cấp trong lĩnh vực quản lý nhà nước của Bộ Xây dựng - đây là cơ sở pháp lý trực tiếp cho việc điều chỉnh thẩm quyền tiếp nhận bàn giao từ cấp huyện xuống cấp xã.</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3 Điều 2. Giải thích từ ngữ (Bên tiếp nhận)</w:t>
            </w:r>
          </w:p>
          <w:p>
            <w:r>
              <w:rPr>
                <w:rFonts w:ascii="Times New Roman" w:cs="Times New Roman" w:eastAsia="Times New Roman" w:hAnsi="Times New Roman"/>
                <w:i/>
                <w:iCs/>
                <w:sz w:val="20"/>
                <w:szCs w:val="20"/>
              </w:rPr>
              <w:t xml:space="preserve">3. Bên tiếp nhận bao gồm:</w:t>
            </w:r>
          </w:p>
          <w:p>
            <w:r>
              <w:rPr>
                <w:rFonts w:ascii="Times New Roman" w:cs="Times New Roman" w:eastAsia="Times New Roman" w:hAnsi="Times New Roman"/>
                <w:i/>
                <w:iCs/>
                <w:sz w:val="20"/>
                <w:szCs w:val="20"/>
              </w:rPr>
              <w:t xml:space="preserve">a) UBND tỉnh hoặc cơ quan, đơn vị được UBND tỉnh ủy quyền.</w:t>
            </w:r>
          </w:p>
          <w:p>
            <w:r>
              <w:rPr>
                <w:rFonts w:ascii="Times New Roman" w:cs="Times New Roman" w:eastAsia="Times New Roman" w:hAnsi="Times New Roman"/>
                <w:b/>
                <w:bCs/>
                <w:sz w:val="20"/>
                <w:szCs w:val="20"/>
              </w:rPr>
              <w:t xml:space="preserve">b) Ủy ban nhân dân các huyện, thành phố (UBND cấp huyện).</w:t>
            </w:r>
            <w:r>
              <w:rPr>
                <w:rFonts w:ascii="Times New Roman" w:cs="Times New Roman" w:eastAsia="Times New Roman" w:hAnsi="Times New Roman"/>
                <w:sz w:val="20"/>
                <w:szCs w:val="20"/>
              </w:rPr>
              <w:t xml:space="preserve"> (Không có UBND cấp xã)</w:t>
            </w:r>
          </w:p>
          <w:p>
            <w:r>
              <w:rPr>
                <w:rFonts w:ascii="Times New Roman" w:cs="Times New Roman" w:eastAsia="Times New Roman" w:hAnsi="Times New Roman"/>
                <w:i/>
                <w:iCs/>
                <w:sz w:val="20"/>
                <w:szCs w:val="20"/>
              </w:rPr>
              <w:t xml:space="preserve">c) Các Sở chuyên ngành hoặc cơ quan, đơn vị được UBND tỉnh giao quản lý tài sản.</w:t>
            </w:r>
          </w:p>
          <w:p>
            <w:r>
              <w:rPr>
                <w:rFonts w:ascii="Times New Roman" w:cs="Times New Roman" w:eastAsia="Times New Roman" w:hAnsi="Times New Roman"/>
                <w:i/>
                <w:iCs/>
                <w:sz w:val="20"/>
                <w:szCs w:val="20"/>
              </w:rPr>
              <w:t xml:space="preserve">d) Các đơn vị chuyên ngành khác theo quy định pháp luật chuyên ngành.</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3 Điều 2. Giải thích từ ngữ (Bên tiếp nhận) - Sửa đổi</w:t>
            </w:r>
          </w:p>
          <w:p>
            <w:r>
              <w:rPr>
                <w:rFonts w:ascii="Times New Roman" w:cs="Times New Roman" w:eastAsia="Times New Roman" w:hAnsi="Times New Roman"/>
                <w:i/>
                <w:iCs/>
                <w:sz w:val="20"/>
                <w:szCs w:val="20"/>
              </w:rPr>
              <w:t xml:space="preserve">3. Bên tiếp nhận bao gồm:</w:t>
            </w:r>
          </w:p>
          <w:p>
            <w:r>
              <w:rPr>
                <w:rFonts w:ascii="Times New Roman" w:cs="Times New Roman" w:eastAsia="Times New Roman" w:hAnsi="Times New Roman"/>
                <w:i/>
                <w:iCs/>
                <w:sz w:val="20"/>
                <w:szCs w:val="20"/>
              </w:rPr>
              <w:t xml:space="preserve">a) UBND tỉnh Thái Nguyên hoặc cơ quan, đơn vị được UBND tỉnh Thái Nguyên ủy quyền.</w:t>
            </w:r>
          </w:p>
          <w:p>
            <w:r>
              <w:rPr>
                <w:rFonts w:ascii="Times New Roman" w:cs="Times New Roman" w:eastAsia="Times New Roman" w:hAnsi="Times New Roman"/>
                <w:b/>
                <w:bCs/>
                <w:sz w:val="20"/>
                <w:szCs w:val="20"/>
              </w:rPr>
              <w:t xml:space="preserve">b) Ủy ban nhân dân cấp xã.</w:t>
            </w:r>
          </w:p>
          <w:p>
            <w:r>
              <w:rPr>
                <w:rFonts w:ascii="Times New Roman" w:cs="Times New Roman" w:eastAsia="Times New Roman" w:hAnsi="Times New Roman"/>
                <w:i/>
                <w:iCs/>
                <w:sz w:val="20"/>
                <w:szCs w:val="20"/>
              </w:rPr>
              <w:t xml:space="preserve">c) Các Sở chuyên ngành hoặc cơ quan, đơn vị được UBND tỉnh giao quản lý tài sản hoặc giao quản lý, sử dụng công trình hạ tầng kỹ thuật, hạ tầng xã hội.</w:t>
            </w:r>
          </w:p>
          <w:p>
            <w:r>
              <w:rPr>
                <w:rFonts w:ascii="Times New Roman" w:cs="Times New Roman" w:eastAsia="Times New Roman" w:hAnsi="Times New Roman"/>
                <w:i/>
                <w:iCs/>
                <w:sz w:val="20"/>
                <w:szCs w:val="20"/>
              </w:rPr>
              <w:t xml:space="preserve">d) Các đơn vị chuyên ngành hoặc các cơ quan, đơn vị khác theo quy định của pháp luật chuyên ngành.</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II. Sửa đổi khoản 3 Điều 2</w:t>
            </w:r>
          </w:p>
          <w:p>
            <w:r>
              <w:rPr>
                <w:rFonts w:ascii="Times New Roman" w:cs="Times New Roman" w:eastAsia="Times New Roman" w:hAnsi="Times New Roman"/>
                <w:sz w:val="20"/>
                <w:szCs w:val="20"/>
              </w:rPr>
              <w:t xml:space="preserve">Thay thế </w:t>
            </w:r>
            <w:r>
              <w:rPr>
                <w:rFonts w:ascii="Times New Roman" w:cs="Times New Roman" w:eastAsia="Times New Roman" w:hAnsi="Times New Roman"/>
                <w:b/>
                <w:bCs/>
                <w:sz w:val="20"/>
                <w:szCs w:val="20"/>
              </w:rPr>
              <w:t xml:space="preserve">"UBND các huyện, thành phố (UBND cấp huyện)"</w:t>
            </w:r>
            <w:r>
              <w:rPr>
                <w:rFonts w:ascii="Times New Roman" w:cs="Times New Roman" w:eastAsia="Times New Roman" w:hAnsi="Times New Roman"/>
                <w:sz w:val="20"/>
                <w:szCs w:val="20"/>
              </w:rPr>
              <w:t xml:space="preserve"> bằng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tại điểm b khoản 3 Điều 2.</w:t>
            </w:r>
          </w:p>
          <w:p>
            <w:r>
              <w:rPr>
                <w:rFonts w:ascii="Times New Roman" w:cs="Times New Roman" w:eastAsia="Times New Roman" w:hAnsi="Times New Roman"/>
                <w:sz w:val="20"/>
                <w:szCs w:val="20"/>
              </w:rPr>
              <w:t xml:space="preserve">Lý do: Thực hiện mô hình chính quyền địa phương 02 cấp theo Luật số 72/2025/QH15 và Nghị định số 140/2025/NĐ-CP, Nghị định số 144/2025/NĐ-CP. Cấp huyện không còn là đơn vị hành chính với chức năng quản lý nhà nước trực tiếp, dẫn đến việc chuyển thẩm quyền tiếp nhận bàn giao hạ tầng về UBND cấp xã.</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2 Điều 3. Thực hiện bàn giao, tiếp nhận</w:t>
            </w:r>
          </w:p>
          <w:p>
            <w:r>
              <w:rPr>
                <w:rFonts w:ascii="Times New Roman" w:cs="Times New Roman" w:eastAsia="Times New Roman" w:hAnsi="Times New Roman"/>
                <w:i/>
                <w:iCs/>
                <w:sz w:val="20"/>
                <w:szCs w:val="20"/>
              </w:rPr>
              <w:t xml:space="preserve">2. Đối với các dự án đã có văn bản chấp thuận chủ trương đầu tư trước thời điểm Quy định này có hiệu lực... Chủ đầu tư dự án phối hợp với </w:t>
            </w:r>
            <w:r>
              <w:rPr>
                <w:rFonts w:ascii="Times New Roman" w:cs="Times New Roman" w:eastAsia="Times New Roman" w:hAnsi="Times New Roman"/>
                <w:b/>
                <w:bCs/>
                <w:sz w:val="20"/>
                <w:szCs w:val="20"/>
              </w:rPr>
              <w:t xml:space="preserve">Ủy ban nhân dân cấp huyện</w:t>
            </w:r>
            <w:r>
              <w:rPr>
                <w:rFonts w:ascii="Times New Roman" w:cs="Times New Roman" w:eastAsia="Times New Roman" w:hAnsi="Times New Roman"/>
                <w:i/>
                <w:iCs/>
                <w:sz w:val="20"/>
                <w:szCs w:val="20"/>
              </w:rPr>
              <w:t xml:space="preserve"> nơi có dự án để lập bổ sung sơ bộ phương án bàn giao quản lý...</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2 Điều 3. Thực hiện bàn giao, tiếp nhận (Sửa đổi)</w:t>
            </w:r>
          </w:p>
          <w:p>
            <w:r>
              <w:rPr>
                <w:rFonts w:ascii="Times New Roman" w:cs="Times New Roman" w:eastAsia="Times New Roman" w:hAnsi="Times New Roman"/>
                <w:i/>
                <w:iCs/>
                <w:sz w:val="20"/>
                <w:szCs w:val="20"/>
              </w:rPr>
              <w:t xml:space="preserve">2. ... Chủ đầu tư dự án phối hợp với </w:t>
            </w:r>
            <w:r>
              <w:rPr>
                <w:rFonts w:ascii="Times New Roman" w:cs="Times New Roman" w:eastAsia="Times New Roman" w:hAnsi="Times New Roman"/>
                <w:b/>
                <w:bCs/>
                <w:sz w:val="20"/>
                <w:szCs w:val="20"/>
              </w:rPr>
              <w:t xml:space="preserve">Ủy ban nhân dân cấp xã</w:t>
            </w:r>
            <w:r>
              <w:rPr>
                <w:rFonts w:ascii="Times New Roman" w:cs="Times New Roman" w:eastAsia="Times New Roman" w:hAnsi="Times New Roman"/>
                <w:i/>
                <w:iCs/>
                <w:sz w:val="20"/>
                <w:szCs w:val="20"/>
              </w:rPr>
              <w:t xml:space="preserve"> nơi có dự án để lập bổ sung sơ bộ phương án bàn giao quản lý theo quy định tại Điều 4 của Quy định này, gửi báo cáo UBND tỉnh làm cơ sở thực hiện.</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III. Sửa đổi khoản 2 Điều 3</w:t>
            </w:r>
          </w:p>
          <w:p>
            <w:r>
              <w:rPr>
                <w:rFonts w:ascii="Times New Roman" w:cs="Times New Roman" w:eastAsia="Times New Roman" w:hAnsi="Times New Roman"/>
                <w:sz w:val="20"/>
                <w:szCs w:val="20"/>
              </w:rPr>
              <w:t xml:space="preserve">Kế thừa toàn bộ nội dung, chỉ thay thế cụm từ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thành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để phù hợp với mô hình chính quyền địa phương 02 cấp. Không thay đổi quy trình, thủ tục và nội dung của việc lập sơ bộ phương án bàn giao.</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Các khoản 4, 8 Điều 5. Nguyên tắc bàn giao</w:t>
            </w:r>
          </w:p>
          <w:p>
            <w:r>
              <w:rPr>
                <w:rFonts w:ascii="Times New Roman" w:cs="Times New Roman" w:eastAsia="Times New Roman" w:hAnsi="Times New Roman"/>
                <w:i/>
                <w:iCs/>
                <w:sz w:val="20"/>
                <w:szCs w:val="20"/>
              </w:rPr>
              <w:t xml:space="preserve">Khoản 4: Bàn giao tài sản: ... Chủ đầu tư căn cứ khoản 3 Điều 23 Nghị định số 06/2021/NĐ-CP đã được sửa đổi, bổ sung tại điểm b khoản 5 Điều 11 Nghị định số 35/2023/NĐ-CP để thực hiện.</w:t>
            </w:r>
          </w:p>
          <w:p>
            <w:r>
              <w:rPr>
                <w:rFonts w:ascii="Times New Roman" w:cs="Times New Roman" w:eastAsia="Times New Roman" w:hAnsi="Times New Roman"/>
                <w:i/>
                <w:iCs/>
                <w:sz w:val="20"/>
                <w:szCs w:val="20"/>
              </w:rPr>
              <w:t xml:space="preserve">Khoản 8: Trường hợp công trình, dự án nằm trên địa bàn từ hai đơn vị hành chính </w:t>
            </w:r>
            <w:r>
              <w:rPr>
                <w:rFonts w:ascii="Times New Roman" w:cs="Times New Roman" w:eastAsia="Times New Roman" w:hAnsi="Times New Roman"/>
                <w:b/>
                <w:bCs/>
                <w:sz w:val="20"/>
                <w:szCs w:val="20"/>
              </w:rPr>
              <w:t xml:space="preserve">cấp huyện</w:t>
            </w:r>
            <w:r>
              <w:rPr>
                <w:rFonts w:ascii="Times New Roman" w:cs="Times New Roman" w:eastAsia="Times New Roman" w:hAnsi="Times New Roman"/>
                <w:i/>
                <w:iCs/>
                <w:sz w:val="20"/>
                <w:szCs w:val="20"/>
              </w:rPr>
              <w:t xml:space="preserve"> trở lên thì UBND tỉnh xem xét, quyết định đơn vị tiếp nhận.</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Các khoản 4, 8 Điều 5. Nguyên tắc bàn giao (Sửa đổi)</w:t>
            </w:r>
          </w:p>
          <w:p>
            <w:r>
              <w:rPr>
                <w:rFonts w:ascii="Times New Roman" w:cs="Times New Roman" w:eastAsia="Times New Roman" w:hAnsi="Times New Roman"/>
                <w:i/>
                <w:iCs/>
                <w:sz w:val="20"/>
                <w:szCs w:val="20"/>
              </w:rPr>
              <w:t xml:space="preserve">Khoản 4: Giữ nguyên nội dung, cập nhật căn cứ pháp lý.</w:t>
            </w:r>
          </w:p>
          <w:p>
            <w:r>
              <w:rPr>
                <w:rFonts w:ascii="Times New Roman" w:cs="Times New Roman" w:eastAsia="Times New Roman" w:hAnsi="Times New Roman"/>
                <w:i/>
                <w:iCs/>
                <w:sz w:val="20"/>
                <w:szCs w:val="20"/>
              </w:rPr>
              <w:t xml:space="preserve">Khoản 8: Trường hợp công trình, dự án nằm trên địa bàn từ hai đơn vị hành chính </w:t>
            </w:r>
            <w:r>
              <w:rPr>
                <w:rFonts w:ascii="Times New Roman" w:cs="Times New Roman" w:eastAsia="Times New Roman" w:hAnsi="Times New Roman"/>
                <w:b/>
                <w:bCs/>
                <w:sz w:val="20"/>
                <w:szCs w:val="20"/>
              </w:rPr>
              <w:t xml:space="preserve">cấp xã</w:t>
            </w:r>
            <w:r>
              <w:rPr>
                <w:rFonts w:ascii="Times New Roman" w:cs="Times New Roman" w:eastAsia="Times New Roman" w:hAnsi="Times New Roman"/>
                <w:i/>
                <w:iCs/>
                <w:sz w:val="20"/>
                <w:szCs w:val="20"/>
              </w:rPr>
              <w:t xml:space="preserve"> trở lên thì UBND tỉnh Thái Nguyên xem xét, quyết định đơn vị tiếp nhận đối với từng trường hợp cụ thể.</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IV. Sửa đổi các khoản 4, 8 Điều 5</w:t>
            </w:r>
          </w:p>
          <w:p>
            <w:r>
              <w:rPr>
                <w:rFonts w:ascii="Times New Roman" w:cs="Times New Roman" w:eastAsia="Times New Roman" w:hAnsi="Times New Roman"/>
                <w:sz w:val="20"/>
                <w:szCs w:val="20"/>
              </w:rPr>
              <w:t xml:space="preserve">Khoản 4: Cập nhật cơ sở pháp lý nhưng không thay đổi nội dung thực chất.</w:t>
            </w:r>
          </w:p>
          <w:p>
            <w:r>
              <w:rPr>
                <w:rFonts w:ascii="Times New Roman" w:cs="Times New Roman" w:eastAsia="Times New Roman" w:hAnsi="Times New Roman"/>
                <w:sz w:val="20"/>
                <w:szCs w:val="20"/>
              </w:rPr>
              <w:t xml:space="preserve">Khoản 8: Thay thế </w:t>
            </w:r>
            <w:r>
              <w:rPr>
                <w:rFonts w:ascii="Times New Roman" w:cs="Times New Roman" w:eastAsia="Times New Roman" w:hAnsi="Times New Roman"/>
                <w:b/>
                <w:bCs/>
                <w:sz w:val="20"/>
                <w:szCs w:val="20"/>
              </w:rPr>
              <w:t xml:space="preserve">"cấp huyện"</w:t>
            </w:r>
            <w:r>
              <w:rPr>
                <w:rFonts w:ascii="Times New Roman" w:cs="Times New Roman" w:eastAsia="Times New Roman" w:hAnsi="Times New Roman"/>
                <w:sz w:val="20"/>
                <w:szCs w:val="20"/>
              </w:rPr>
              <w:t xml:space="preserve"> bằng </w:t>
            </w:r>
            <w:r>
              <w:rPr>
                <w:rFonts w:ascii="Times New Roman" w:cs="Times New Roman" w:eastAsia="Times New Roman" w:hAnsi="Times New Roman"/>
                <w:b/>
                <w:bCs/>
                <w:sz w:val="20"/>
                <w:szCs w:val="20"/>
              </w:rPr>
              <w:t xml:space="preserve">"cấp xã"</w:t>
            </w:r>
            <w:r>
              <w:rPr>
                <w:rFonts w:ascii="Times New Roman" w:cs="Times New Roman" w:eastAsia="Times New Roman" w:hAnsi="Times New Roman"/>
                <w:sz w:val="20"/>
                <w:szCs w:val="20"/>
              </w:rPr>
              <w:t xml:space="preserve">. Khi dự án trải dài trên từ hai đơn vị hành chính cấp xã trở lên, UBND tỉnh quyết định đơn vị tiếp nhận, đảm bảo quản lý thống nhất.</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3 Điều 6. Phạm vi áp dụng/Bàn giao hạ tầng khung</w:t>
            </w:r>
          </w:p>
          <w:p>
            <w:r>
              <w:rPr>
                <w:rFonts w:ascii="Times New Roman" w:cs="Times New Roman" w:eastAsia="Times New Roman" w:hAnsi="Times New Roman"/>
                <w:i/>
                <w:iCs/>
                <w:sz w:val="20"/>
                <w:szCs w:val="20"/>
              </w:rPr>
              <w:t xml:space="preserve">3. ... Chủ đầu tư phối hợp với </w:t>
            </w:r>
            <w:r>
              <w:rPr>
                <w:rFonts w:ascii="Times New Roman" w:cs="Times New Roman" w:eastAsia="Times New Roman" w:hAnsi="Times New Roman"/>
                <w:b/>
                <w:bCs/>
                <w:sz w:val="20"/>
                <w:szCs w:val="20"/>
              </w:rPr>
              <w:t xml:space="preserve">Ủy ban nhân dân cấp huyện</w:t>
            </w:r>
            <w:r>
              <w:rPr>
                <w:rFonts w:ascii="Times New Roman" w:cs="Times New Roman" w:eastAsia="Times New Roman" w:hAnsi="Times New Roman"/>
                <w:i/>
                <w:iCs/>
                <w:sz w:val="20"/>
                <w:szCs w:val="20"/>
              </w:rPr>
              <w:t xml:space="preserve"> nơi có dự án đề xuất, báo cáo UBND tỉnh quyết định việc bàn giao một số công trình hạ tầng thiết yếu, các công trình hạ tầng khung trong dự án cho Nhà nước.</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3 Điều 6. Phạm vi áp dụng/Bàn giao hạ tầng khung (Sửa đổi)</w:t>
            </w:r>
          </w:p>
          <w:p>
            <w:r>
              <w:rPr>
                <w:rFonts w:ascii="Times New Roman" w:cs="Times New Roman" w:eastAsia="Times New Roman" w:hAnsi="Times New Roman"/>
                <w:i/>
                <w:iCs/>
                <w:sz w:val="20"/>
                <w:szCs w:val="20"/>
              </w:rPr>
              <w:t xml:space="preserve">3. ... Chủ đầu tư phối hợp với </w:t>
            </w:r>
            <w:r>
              <w:rPr>
                <w:rFonts w:ascii="Times New Roman" w:cs="Times New Roman" w:eastAsia="Times New Roman" w:hAnsi="Times New Roman"/>
                <w:b/>
                <w:bCs/>
                <w:sz w:val="20"/>
                <w:szCs w:val="20"/>
              </w:rPr>
              <w:t xml:space="preserve">Ủy ban nhân dân cấp xã</w:t>
            </w:r>
            <w:r>
              <w:rPr>
                <w:rFonts w:ascii="Times New Roman" w:cs="Times New Roman" w:eastAsia="Times New Roman" w:hAnsi="Times New Roman"/>
                <w:i/>
                <w:iCs/>
                <w:sz w:val="20"/>
                <w:szCs w:val="20"/>
              </w:rPr>
              <w:t xml:space="preserve"> nơi có dự án đề xuất, báo cáo UBND tỉnh quyết định việc bàn giao một số công trình hạ tầng thiết yếu, các công trình hạ tầng khung trong dự án cho Nhà nước.</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V. Sửa đổi khoản 3 Điều 6</w:t>
            </w:r>
          </w:p>
          <w:p>
            <w:r>
              <w:rPr>
                <w:rFonts w:ascii="Times New Roman" w:cs="Times New Roman" w:eastAsia="Times New Roman" w:hAnsi="Times New Roman"/>
                <w:sz w:val="20"/>
                <w:szCs w:val="20"/>
              </w:rPr>
              <w:t xml:space="preserve">Thay thế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bằng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Kế thừa toàn bộ quy trình đề xuất và báo cáo UBND tỉnh quyết định. Không thay đổi nội dung thực chất về điều kiện bàn giao hạ tầng khung.</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7. Phân cấp tiếp nhận thuộc thẩm quyền của UBND tỉnh Thái Nguyên</w:t>
            </w:r>
          </w:p>
          <w:p>
            <w:r>
              <w:rPr>
                <w:rFonts w:ascii="Times New Roman" w:cs="Times New Roman" w:eastAsia="Times New Roman" w:hAnsi="Times New Roman"/>
                <w:i/>
                <w:iCs/>
                <w:sz w:val="20"/>
                <w:szCs w:val="20"/>
              </w:rPr>
              <w:t xml:space="preserve">1. Phân cấp cho </w:t>
            </w:r>
            <w:r>
              <w:rPr>
                <w:rFonts w:ascii="Times New Roman" w:cs="Times New Roman" w:eastAsia="Times New Roman" w:hAnsi="Times New Roman"/>
                <w:b/>
                <w:bCs/>
                <w:sz w:val="20"/>
                <w:szCs w:val="20"/>
              </w:rPr>
              <w:t xml:space="preserve">Ủy ban nhân dân các huyện, thành phố</w:t>
            </w:r>
            <w:r>
              <w:rPr>
                <w:rFonts w:ascii="Times New Roman" w:cs="Times New Roman" w:eastAsia="Times New Roman" w:hAnsi="Times New Roman"/>
                <w:i/>
                <w:iCs/>
                <w:sz w:val="20"/>
                <w:szCs w:val="20"/>
              </w:rPr>
              <w:t xml:space="preserve"> (UBND cấp huyện) là bên tiếp nhận bàn giao tài sản đối với các khu đô thị, khu nhà ở, khu dân cư theo quy định tại khoản 4 Điều 38 Nghị định số 11/2013/NĐ-CP...</w:t>
            </w:r>
          </w:p>
          <w:p>
            <w:r>
              <w:rPr>
                <w:rFonts w:ascii="Times New Roman" w:cs="Times New Roman" w:eastAsia="Times New Roman" w:hAnsi="Times New Roman"/>
                <w:i/>
                <w:iCs/>
                <w:sz w:val="20"/>
                <w:szCs w:val="20"/>
              </w:rPr>
              <w:t xml:space="preserve">2. Giao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i/>
                <w:iCs/>
                <w:sz w:val="20"/>
                <w:szCs w:val="20"/>
              </w:rPr>
              <w:t xml:space="preserve"> là cơ quan được giao nhiệm vụ tiếp nhận tài sản từ Chủ đầu tư dự án khu đô thị, khu dân cư...</w:t>
            </w:r>
          </w:p>
          <w:p>
            <w:r>
              <w:rPr>
                <w:rFonts w:ascii="Times New Roman" w:cs="Times New Roman" w:eastAsia="Times New Roman" w:hAnsi="Times New Roman"/>
                <w:i/>
                <w:iCs/>
                <w:sz w:val="20"/>
                <w:szCs w:val="20"/>
              </w:rPr>
              <w:t xml:space="preserve">3. Giao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i/>
                <w:iCs/>
                <w:sz w:val="20"/>
                <w:szCs w:val="20"/>
              </w:rPr>
              <w:t xml:space="preserve"> là cơ quan nhận bàn giao hạ tầng kỹ thuật trong các dự án...</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7. Phân cấp tiếp nhận thuộc thẩm quyền của UBND tỉnh Thái Nguyên (Sửa đổi)</w:t>
            </w:r>
          </w:p>
          <w:p>
            <w:r>
              <w:rPr>
                <w:rFonts w:ascii="Times New Roman" w:cs="Times New Roman" w:eastAsia="Times New Roman" w:hAnsi="Times New Roman"/>
                <w:i/>
                <w:iCs/>
                <w:sz w:val="20"/>
                <w:szCs w:val="20"/>
              </w:rPr>
              <w:t xml:space="preserve">1. Phân cấp cho </w:t>
            </w:r>
            <w:r>
              <w:rPr>
                <w:rFonts w:ascii="Times New Roman" w:cs="Times New Roman" w:eastAsia="Times New Roman" w:hAnsi="Times New Roman"/>
                <w:b/>
                <w:bCs/>
                <w:sz w:val="20"/>
                <w:szCs w:val="20"/>
              </w:rPr>
              <w:t xml:space="preserve">Ủy ban nhân dân cấp xã</w:t>
            </w:r>
            <w:r>
              <w:rPr>
                <w:rFonts w:ascii="Times New Roman" w:cs="Times New Roman" w:eastAsia="Times New Roman" w:hAnsi="Times New Roman"/>
                <w:i/>
                <w:iCs/>
                <w:sz w:val="20"/>
                <w:szCs w:val="20"/>
              </w:rPr>
              <w:t xml:space="preserve"> là bên tiếp nhận bàn giao tài sản đối với các khu đô thị, khu nhà ở, khu dân cư theo quy định tại khoản 4 Điều 38 Nghị định số 11/2013/NĐ-CP được sửa đổi, bổ sung tại khoản 8 Điều 4 Nghị định số 35/2023/NĐ-CP.</w:t>
            </w:r>
          </w:p>
          <w:p>
            <w:r>
              <w:rPr>
                <w:rFonts w:ascii="Times New Roman" w:cs="Times New Roman" w:eastAsia="Times New Roman" w:hAnsi="Times New Roman"/>
                <w:i/>
                <w:iCs/>
                <w:sz w:val="20"/>
                <w:szCs w:val="20"/>
              </w:rPr>
              <w:t xml:space="preserve">2. Giao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i/>
                <w:iCs/>
                <w:sz w:val="20"/>
                <w:szCs w:val="20"/>
              </w:rPr>
              <w:t xml:space="preserve"> là cơ quan được giao nhiệm vụ tiếp nhận tài sản từ Chủ đầu tư dự án khu đô thị, khu dân cư quy định tại Nghị định số 43/2022/NĐ-CP.</w:t>
            </w:r>
          </w:p>
          <w:p>
            <w:r>
              <w:rPr>
                <w:rFonts w:ascii="Times New Roman" w:cs="Times New Roman" w:eastAsia="Times New Roman" w:hAnsi="Times New Roman"/>
                <w:i/>
                <w:iCs/>
                <w:sz w:val="20"/>
                <w:szCs w:val="20"/>
              </w:rPr>
              <w:t xml:space="preserve">3. Giao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i/>
                <w:iCs/>
                <w:sz w:val="20"/>
                <w:szCs w:val="20"/>
              </w:rPr>
              <w:t xml:space="preserve"> là cơ quan nhận bàn giao hạ tầng kỹ thuật trong các dự án khu đô thị, khu dân cư và dự án khác quy định tại khoản 4 Điều 3 Nghị định số 02/2024/NĐ-CP.</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VI. Điều 7 - Điều khoản trung tâm</w:t>
            </w:r>
          </w:p>
          <w:p>
            <w:r>
              <w:rPr>
                <w:rFonts w:ascii="Times New Roman" w:cs="Times New Roman" w:eastAsia="Times New Roman" w:hAnsi="Times New Roman"/>
                <w:sz w:val="20"/>
                <w:szCs w:val="20"/>
              </w:rPr>
              <w:t xml:space="preserve">Đây là điều khoản trực tiếp thực hiện phân cấp, là điều khoản trung tâm của toàn bộ Quyết định sửa đổi. Việc thay thế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bằng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tại Điều 7 kéo theo toàn bộ các điều khoản liên quan cũng phải thay đổi tương ứng.</w:t>
            </w:r>
          </w:p>
          <w:p>
            <w:r>
              <w:rPr>
                <w:rFonts w:ascii="Times New Roman" w:cs="Times New Roman" w:eastAsia="Times New Roman" w:hAnsi="Times New Roman"/>
                <w:sz w:val="20"/>
                <w:szCs w:val="20"/>
              </w:rPr>
              <w:t xml:space="preserve">Cơ sở pháp lý: Khoản 4 Điều 38 Nghị định 11/2013/NĐ-CP (sửa đổi tại NĐ 35/2023/NĐ-CP), Nghị định số 43/2022/NĐ-CP và Nghị định số 02/2024/NĐ-CP vẫn được giữ nguyên; chỉ thay đơn vị thực hiện từ cấp huyện xuống cấp xã.</w:t>
            </w:r>
          </w:p>
          <w:p>
            <w:r>
              <w:rPr>
                <w:rFonts w:ascii="Times New Roman" w:cs="Times New Roman" w:eastAsia="Times New Roman" w:hAnsi="Times New Roman"/>
                <w:sz w:val="20"/>
                <w:szCs w:val="20"/>
              </w:rPr>
              <w:t xml:space="preserve">Kết quả: UBND cấp xã trở thành đầu mối duy nhất tiếp nhận bàn giao tài sản hạ tầng từ chủ đầu tư, đảm bảo quản lý thống nhất, liên tục và gần với thực tiễn địa bàn hơn.</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8 đến Điều 16 (Quy định kèm theo QĐ 47)</w:t>
            </w:r>
          </w:p>
          <w:p>
            <w:r>
              <w:rPr>
                <w:rFonts w:ascii="Times New Roman" w:cs="Times New Roman" w:eastAsia="Times New Roman" w:hAnsi="Times New Roman"/>
                <w:b/>
                <w:bCs/>
                <w:sz w:val="20"/>
                <w:szCs w:val="20"/>
              </w:rPr>
              <w:t xml:space="preserve">Điều 8:</w:t>
            </w:r>
            <w:r>
              <w:rPr>
                <w:rFonts w:ascii="Times New Roman" w:cs="Times New Roman" w:eastAsia="Times New Roman" w:hAnsi="Times New Roman"/>
                <w:sz w:val="20"/>
                <w:szCs w:val="20"/>
              </w:rPr>
              <w:t xml:space="preserve"> Chủ đầu tư bàn giao công trình cấp nước sạch cho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9:</w:t>
            </w:r>
            <w:r>
              <w:rPr>
                <w:rFonts w:ascii="Times New Roman" w:cs="Times New Roman" w:eastAsia="Times New Roman" w:hAnsi="Times New Roman"/>
                <w:sz w:val="20"/>
                <w:szCs w:val="20"/>
              </w:rPr>
              <w:t xml:space="preserve"> Chủ đầu tư bàn giao công trình cấp điện cho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10:</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và Chủ đầu tư thống nhất phương án bàn giao công trình chiếu sáng...</w:t>
            </w:r>
          </w:p>
          <w:p>
            <w:r>
              <w:rPr>
                <w:rFonts w:ascii="Times New Roman" w:cs="Times New Roman" w:eastAsia="Times New Roman" w:hAnsi="Times New Roman"/>
                <w:b/>
                <w:bCs/>
                <w:sz w:val="20"/>
                <w:szCs w:val="20"/>
              </w:rPr>
              <w:t xml:space="preserve">Điều 11:</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là chủ sở hữu công trình thoát nước thải...</w:t>
            </w:r>
          </w:p>
          <w:p>
            <w:r>
              <w:rPr>
                <w:rFonts w:ascii="Times New Roman" w:cs="Times New Roman" w:eastAsia="Times New Roman" w:hAnsi="Times New Roman"/>
                <w:b/>
                <w:bCs/>
                <w:sz w:val="20"/>
                <w:szCs w:val="20"/>
              </w:rPr>
              <w:t xml:space="preserve">Điều 12:</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nơi có dự án là chủ sở hữu công trình thoát nước mưa...</w:t>
            </w:r>
          </w:p>
          <w:p>
            <w:r>
              <w:rPr>
                <w:rFonts w:ascii="Times New Roman" w:cs="Times New Roman" w:eastAsia="Times New Roman" w:hAnsi="Times New Roman"/>
                <w:b/>
                <w:bCs/>
                <w:sz w:val="20"/>
                <w:szCs w:val="20"/>
              </w:rPr>
              <w:t xml:space="preserve">Điều 13:</w:t>
            </w:r>
            <w:r>
              <w:rPr>
                <w:rFonts w:ascii="Times New Roman" w:cs="Times New Roman" w:eastAsia="Times New Roman" w:hAnsi="Times New Roman"/>
                <w:sz w:val="20"/>
                <w:szCs w:val="20"/>
              </w:rPr>
              <w:t xml:space="preserve"> Chủ đầu tư bàn giao toàn bộ công trình giao thông cho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14:</w:t>
            </w:r>
            <w:r>
              <w:rPr>
                <w:rFonts w:ascii="Times New Roman" w:cs="Times New Roman" w:eastAsia="Times New Roman" w:hAnsi="Times New Roman"/>
                <w:sz w:val="20"/>
                <w:szCs w:val="20"/>
              </w:rPr>
              <w:t xml:space="preserve"> Chủ đầu tư bàn giao hệ thống viễn thông cho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15:</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là chủ sở hữu công trình hào, tuynen kỹ thuật...</w:t>
            </w:r>
          </w:p>
          <w:p>
            <w:r>
              <w:rPr>
                <w:rFonts w:ascii="Times New Roman" w:cs="Times New Roman" w:eastAsia="Times New Roman" w:hAnsi="Times New Roman"/>
                <w:b/>
                <w:bCs/>
                <w:sz w:val="20"/>
                <w:szCs w:val="20"/>
              </w:rPr>
              <w:t xml:space="preserve">Điều 16:</w:t>
            </w:r>
            <w:r>
              <w:rPr>
                <w:rFonts w:ascii="Times New Roman" w:cs="Times New Roman" w:eastAsia="Times New Roman" w:hAnsi="Times New Roman"/>
                <w:sz w:val="20"/>
                <w:szCs w:val="20"/>
              </w:rPr>
              <w:t xml:space="preserve"> Chủ đầu tư bàn giao công trình hạ tầng xã hội (cây xanh, công viên, hồ cảnh quan...) cho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8 đến Điều 16 (sau sửa đổi)</w:t>
            </w:r>
          </w:p>
          <w:p>
            <w:r>
              <w:rPr>
                <w:rFonts w:ascii="Times New Roman" w:cs="Times New Roman" w:eastAsia="Times New Roman" w:hAnsi="Times New Roman"/>
                <w:b/>
                <w:bCs/>
                <w:sz w:val="20"/>
                <w:szCs w:val="20"/>
              </w:rPr>
              <w:t xml:space="preserve">Điều 8:</w:t>
            </w:r>
            <w:r>
              <w:rPr>
                <w:rFonts w:ascii="Times New Roman" w:cs="Times New Roman" w:eastAsia="Times New Roman" w:hAnsi="Times New Roman"/>
                <w:sz w:val="20"/>
                <w:szCs w:val="20"/>
              </w:rPr>
              <w:t xml:space="preserve"> Chủ đầu tư bàn giao công trình cấp nước sạch cho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9:</w:t>
            </w:r>
            <w:r>
              <w:rPr>
                <w:rFonts w:ascii="Times New Roman" w:cs="Times New Roman" w:eastAsia="Times New Roman" w:hAnsi="Times New Roman"/>
                <w:sz w:val="20"/>
                <w:szCs w:val="20"/>
              </w:rPr>
              <w:t xml:space="preserve"> Chủ đầu tư bàn giao công trình cấp điện cho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để thực hiện bàn giao nguyên trạng sang Tập đoàn Điện lực Việt Nam theo Nghị định số 02/2024/NĐ-CP...</w:t>
            </w:r>
          </w:p>
          <w:p>
            <w:r>
              <w:rPr>
                <w:rFonts w:ascii="Times New Roman" w:cs="Times New Roman" w:eastAsia="Times New Roman" w:hAnsi="Times New Roman"/>
                <w:b/>
                <w:bCs/>
                <w:sz w:val="20"/>
                <w:szCs w:val="20"/>
              </w:rPr>
              <w:t xml:space="preserve">Điều 10:</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và Chủ đầu tư thống nhất phương án bàn giao công trình chiếu sáng...</w:t>
            </w:r>
          </w:p>
          <w:p>
            <w:r>
              <w:rPr>
                <w:rFonts w:ascii="Times New Roman" w:cs="Times New Roman" w:eastAsia="Times New Roman" w:hAnsi="Times New Roman"/>
                <w:b/>
                <w:bCs/>
                <w:sz w:val="20"/>
                <w:szCs w:val="20"/>
              </w:rPr>
              <w:t xml:space="preserve">Điều 11:</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là chủ sở hữu công trình thoát nước thải...</w:t>
            </w:r>
          </w:p>
          <w:p>
            <w:r>
              <w:rPr>
                <w:rFonts w:ascii="Times New Roman" w:cs="Times New Roman" w:eastAsia="Times New Roman" w:hAnsi="Times New Roman"/>
                <w:b/>
                <w:bCs/>
                <w:sz w:val="20"/>
                <w:szCs w:val="20"/>
              </w:rPr>
              <w:t xml:space="preserve">Điều 12:</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nơi có dự án là chủ sở hữu công trình thoát nước mưa...</w:t>
            </w:r>
          </w:p>
          <w:p>
            <w:r>
              <w:rPr>
                <w:rFonts w:ascii="Times New Roman" w:cs="Times New Roman" w:eastAsia="Times New Roman" w:hAnsi="Times New Roman"/>
                <w:b/>
                <w:bCs/>
                <w:sz w:val="20"/>
                <w:szCs w:val="20"/>
              </w:rPr>
              <w:t xml:space="preserve">Điều 13:</w:t>
            </w:r>
            <w:r>
              <w:rPr>
                <w:rFonts w:ascii="Times New Roman" w:cs="Times New Roman" w:eastAsia="Times New Roman" w:hAnsi="Times New Roman"/>
                <w:sz w:val="20"/>
                <w:szCs w:val="20"/>
              </w:rPr>
              <w:t xml:space="preserve"> Chủ đầu tư bàn giao toàn bộ công trình giao thông cho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w:t>
            </w:r>
          </w:p>
          <w:p>
            <w:r>
              <w:rPr>
                <w:rFonts w:ascii="Times New Roman" w:cs="Times New Roman" w:eastAsia="Times New Roman" w:hAnsi="Times New Roman"/>
                <w:b/>
                <w:bCs/>
                <w:sz w:val="20"/>
                <w:szCs w:val="20"/>
              </w:rPr>
              <w:t xml:space="preserve">Điều 14:</w:t>
            </w:r>
            <w:r>
              <w:rPr>
                <w:rFonts w:ascii="Times New Roman" w:cs="Times New Roman" w:eastAsia="Times New Roman" w:hAnsi="Times New Roman"/>
                <w:sz w:val="20"/>
                <w:szCs w:val="20"/>
              </w:rPr>
              <w:t xml:space="preserve"> Chủ đầu tư bàn giao hệ thống viễn thông (cống, bể cáp, ống chờ) cho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để quản lý và cho thuê...</w:t>
            </w:r>
          </w:p>
          <w:p>
            <w:r>
              <w:rPr>
                <w:rFonts w:ascii="Times New Roman" w:cs="Times New Roman" w:eastAsia="Times New Roman" w:hAnsi="Times New Roman"/>
                <w:b/>
                <w:bCs/>
                <w:sz w:val="20"/>
                <w:szCs w:val="20"/>
              </w:rPr>
              <w:t xml:space="preserve">Điều 15:</w:t>
            </w:r>
            <w:r>
              <w:rPr>
                <w:rFonts w:ascii="Times New Roman" w:cs="Times New Roman" w:eastAsia="Times New Roman" w:hAnsi="Times New Roman"/>
                <w:sz w:val="20"/>
                <w:szCs w:val="20"/>
              </w:rPr>
              <w:t xml:space="preserve">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là chủ sở hữu công trình hào, tuynen kỹ thuật...</w:t>
            </w:r>
          </w:p>
          <w:p>
            <w:r>
              <w:rPr>
                <w:rFonts w:ascii="Times New Roman" w:cs="Times New Roman" w:eastAsia="Times New Roman" w:hAnsi="Times New Roman"/>
                <w:b/>
                <w:bCs/>
                <w:sz w:val="20"/>
                <w:szCs w:val="20"/>
              </w:rPr>
              <w:t xml:space="preserve">Điều 16:</w:t>
            </w:r>
            <w:r>
              <w:rPr>
                <w:rFonts w:ascii="Times New Roman" w:cs="Times New Roman" w:eastAsia="Times New Roman" w:hAnsi="Times New Roman"/>
                <w:sz w:val="20"/>
                <w:szCs w:val="20"/>
              </w:rPr>
              <w:t xml:space="preserve"> Chủ đầu tư bàn giao công trình hạ tầng xã hội (cây xanh, công viên, hồ cảnh quan...) cho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VII. Các Điều 8-16 - Kế thừa nguyên tắc, sửa đổi đơn vị tiếp nhận</w:t>
            </w:r>
          </w:p>
          <w:p>
            <w:r>
              <w:rPr>
                <w:rFonts w:ascii="Times New Roman" w:cs="Times New Roman" w:eastAsia="Times New Roman" w:hAnsi="Times New Roman"/>
                <w:sz w:val="20"/>
                <w:szCs w:val="20"/>
              </w:rPr>
              <w:t xml:space="preserve">Toàn bộ quy định kỹ thuật về điều kiện, quy trình, hồ sơ, trách nhiệm bàn giao và tiếp nhận của từng loại công trình được giữ nguyên, đảm bảo tính kế thừa và ổn định của hệ thống pháp luật.</w:t>
            </w:r>
          </w:p>
          <w:p>
            <w:r>
              <w:rPr>
                <w:rFonts w:ascii="Times New Roman" w:cs="Times New Roman" w:eastAsia="Times New Roman" w:hAnsi="Times New Roman"/>
                <w:sz w:val="20"/>
                <w:szCs w:val="20"/>
              </w:rPr>
              <w:t xml:space="preserve">Chỉ thay đổi duy nhất: </w:t>
            </w:r>
            <w:r>
              <w:rPr>
                <w:rFonts w:ascii="Times New Roman" w:cs="Times New Roman" w:eastAsia="Times New Roman" w:hAnsi="Times New Roman"/>
                <w:b/>
                <w:bCs/>
                <w:sz w:val="20"/>
                <w:szCs w:val="20"/>
              </w:rPr>
              <w:t xml:space="preserve">đơn vị tiếp nhận</w:t>
            </w:r>
            <w:r>
              <w:rPr>
                <w:rFonts w:ascii="Times New Roman" w:cs="Times New Roman" w:eastAsia="Times New Roman" w:hAnsi="Times New Roman"/>
                <w:sz w:val="20"/>
                <w:szCs w:val="20"/>
              </w:rPr>
              <w:t xml:space="preserve"> từ </w:t>
            </w:r>
            <w:r>
              <w:rPr>
                <w:rFonts w:ascii="Times New Roman" w:cs="Times New Roman" w:eastAsia="Times New Roman" w:hAnsi="Times New Roman"/>
                <w:b/>
                <w:bCs/>
                <w:sz w:val="20"/>
                <w:szCs w:val="20"/>
              </w:rPr>
              <w:t xml:space="preserve">"UBND cấp huyện"</w:t>
            </w:r>
            <w:r>
              <w:rPr>
                <w:rFonts w:ascii="Times New Roman" w:cs="Times New Roman" w:eastAsia="Times New Roman" w:hAnsi="Times New Roman"/>
                <w:sz w:val="20"/>
                <w:szCs w:val="20"/>
              </w:rPr>
              <w:t xml:space="preserve"> thành </w:t>
            </w:r>
            <w:r>
              <w:rPr>
                <w:rFonts w:ascii="Times New Roman" w:cs="Times New Roman" w:eastAsia="Times New Roman" w:hAnsi="Times New Roman"/>
                <w:b/>
                <w:bCs/>
                <w:sz w:val="20"/>
                <w:szCs w:val="20"/>
              </w:rPr>
              <w:t xml:space="preserve">"UBND cấp xã"</w:t>
            </w:r>
            <w:r>
              <w:rPr>
                <w:rFonts w:ascii="Times New Roman" w:cs="Times New Roman" w:eastAsia="Times New Roman" w:hAnsi="Times New Roman"/>
                <w:sz w:val="20"/>
                <w:szCs w:val="20"/>
              </w:rPr>
              <w:t xml:space="preserve"> tại 09 điều quy định về từng loại công trình cụ thể, gồm:</w:t>
            </w:r>
          </w:p>
          <w:p>
            <w:r>
              <w:rPr>
                <w:rFonts w:ascii="Times New Roman" w:cs="Times New Roman" w:eastAsia="Times New Roman" w:hAnsi="Times New Roman"/>
                <w:sz w:val="20"/>
                <w:szCs w:val="20"/>
              </w:rPr>
              <w:t xml:space="preserve">- Điều 8: Công trình cấp nước sạch, cấp nước PCCC</w:t>
            </w:r>
          </w:p>
          <w:p>
            <w:r>
              <w:rPr>
                <w:rFonts w:ascii="Times New Roman" w:cs="Times New Roman" w:eastAsia="Times New Roman" w:hAnsi="Times New Roman"/>
                <w:sz w:val="20"/>
                <w:szCs w:val="20"/>
              </w:rPr>
              <w:t xml:space="preserve">- Điều 9: Công trình cấp điện</w:t>
            </w:r>
          </w:p>
          <w:p>
            <w:r>
              <w:rPr>
                <w:rFonts w:ascii="Times New Roman" w:cs="Times New Roman" w:eastAsia="Times New Roman" w:hAnsi="Times New Roman"/>
                <w:sz w:val="20"/>
                <w:szCs w:val="20"/>
              </w:rPr>
              <w:t xml:space="preserve">- Điều 10: Công trình chiếu sáng</w:t>
            </w:r>
          </w:p>
          <w:p>
            <w:r>
              <w:rPr>
                <w:rFonts w:ascii="Times New Roman" w:cs="Times New Roman" w:eastAsia="Times New Roman" w:hAnsi="Times New Roman"/>
                <w:sz w:val="20"/>
                <w:szCs w:val="20"/>
              </w:rPr>
              <w:t xml:space="preserve">- Điều 11: Công trình thoát nước và xử lý nước thải</w:t>
            </w:r>
          </w:p>
          <w:p>
            <w:r>
              <w:rPr>
                <w:rFonts w:ascii="Times New Roman" w:cs="Times New Roman" w:eastAsia="Times New Roman" w:hAnsi="Times New Roman"/>
                <w:sz w:val="20"/>
                <w:szCs w:val="20"/>
              </w:rPr>
              <w:t xml:space="preserve">- Điều 12: Công trình thoát nước mưa</w:t>
            </w:r>
          </w:p>
          <w:p>
            <w:r>
              <w:rPr>
                <w:rFonts w:ascii="Times New Roman" w:cs="Times New Roman" w:eastAsia="Times New Roman" w:hAnsi="Times New Roman"/>
                <w:sz w:val="20"/>
                <w:szCs w:val="20"/>
              </w:rPr>
              <w:t xml:space="preserve">- Điều 13: Công trình giao thông</w:t>
            </w:r>
          </w:p>
          <w:p>
            <w:r>
              <w:rPr>
                <w:rFonts w:ascii="Times New Roman" w:cs="Times New Roman" w:eastAsia="Times New Roman" w:hAnsi="Times New Roman"/>
                <w:sz w:val="20"/>
                <w:szCs w:val="20"/>
              </w:rPr>
              <w:t xml:space="preserve">- Điều 14: Công trình viễn thông</w:t>
            </w:r>
          </w:p>
          <w:p>
            <w:r>
              <w:rPr>
                <w:rFonts w:ascii="Times New Roman" w:cs="Times New Roman" w:eastAsia="Times New Roman" w:hAnsi="Times New Roman"/>
                <w:sz w:val="20"/>
                <w:szCs w:val="20"/>
              </w:rPr>
              <w:t xml:space="preserve">- Điều 15: Công trình hào, tuynen kỹ thuật</w:t>
            </w:r>
          </w:p>
          <w:p>
            <w:r>
              <w:rPr>
                <w:rFonts w:ascii="Times New Roman" w:cs="Times New Roman" w:eastAsia="Times New Roman" w:hAnsi="Times New Roman"/>
                <w:sz w:val="20"/>
                <w:szCs w:val="20"/>
              </w:rPr>
              <w:t xml:space="preserve">- Điều 16: Công trình hạ tầng xã hội (cây xanh, công viên, hồ cảnh quan, vườn hoa, sân thể thao)</w:t>
            </w:r>
          </w:p>
          <w:p>
            <w:r>
              <w:rPr>
                <w:rFonts w:ascii="Times New Roman" w:cs="Times New Roman" w:eastAsia="Times New Roman" w:hAnsi="Times New Roman"/>
                <w:sz w:val="20"/>
                <w:szCs w:val="20"/>
              </w:rPr>
              <w:t xml:space="preserve">Không có nội dung mới về thủ tục hành chính, không tạo thêm gánh nặng cho tổ chức, cá nhân.</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18 khoản 2; Điều 19; Điều 20 khoản 3</w:t>
            </w:r>
          </w:p>
          <w:p>
            <w:r>
              <w:rPr>
                <w:rFonts w:ascii="Times New Roman" w:cs="Times New Roman" w:eastAsia="Times New Roman" w:hAnsi="Times New Roman"/>
                <w:i/>
                <w:iCs/>
                <w:sz w:val="20"/>
                <w:szCs w:val="20"/>
              </w:rPr>
              <w:t xml:space="preserve">Điều 19: Bên tiếp nhận tổ chức kiểm tra... Nội dung kiểm tra về sự phù hợp giữa hiện trạng công trình với hồ sơ hoàn thành công trình theo quy định của Luật Xây dựng và danh mục tài sản bàn giao theo quy định của </w:t>
            </w:r>
            <w:r>
              <w:rPr>
                <w:rFonts w:ascii="Times New Roman" w:cs="Times New Roman" w:eastAsia="Times New Roman" w:hAnsi="Times New Roman"/>
                <w:b/>
                <w:bCs/>
                <w:sz w:val="20"/>
                <w:szCs w:val="20"/>
              </w:rPr>
              <w:t xml:space="preserve">Nghị định số 151/2017/NĐ-CP</w:t>
            </w:r>
            <w:r>
              <w:rPr>
                <w:rFonts w:ascii="Times New Roman" w:cs="Times New Roman" w:eastAsia="Times New Roman" w:hAnsi="Times New Roman"/>
                <w:i/>
                <w:iCs/>
                <w:sz w:val="20"/>
                <w:szCs w:val="20"/>
              </w:rPr>
              <w:t xml:space="preserve">...</w:t>
            </w:r>
          </w:p>
          <w:p>
            <w:r>
              <w:rPr>
                <w:rFonts w:ascii="Times New Roman" w:cs="Times New Roman" w:eastAsia="Times New Roman" w:hAnsi="Times New Roman"/>
                <w:i/>
                <w:iCs/>
                <w:sz w:val="20"/>
                <w:szCs w:val="20"/>
              </w:rPr>
              <w:t xml:space="preserve">Điều 20 khoản 3: ...hiện trạng công trình... không phù hợp với hồ sơ hoàn thành công trình và danh mục tài sản bàn giao theo quy định của </w:t>
            </w:r>
            <w:r>
              <w:rPr>
                <w:rFonts w:ascii="Times New Roman" w:cs="Times New Roman" w:eastAsia="Times New Roman" w:hAnsi="Times New Roman"/>
                <w:b/>
                <w:bCs/>
                <w:sz w:val="20"/>
                <w:szCs w:val="20"/>
              </w:rPr>
              <w:t xml:space="preserve">Nghị định số 151/2017/NĐ-CP</w:t>
            </w:r>
            <w:r>
              <w:rPr>
                <w:rFonts w:ascii="Times New Roman" w:cs="Times New Roman" w:eastAsia="Times New Roman" w:hAnsi="Times New Roman"/>
                <w:i/>
                <w:iCs/>
                <w:sz w:val="20"/>
                <w:szCs w:val="20"/>
              </w:rPr>
              <w:t xml:space="preserve">...</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18 khoản 2; Điều 19; Điều 20 khoản 3 (Sửa đổi)</w:t>
            </w:r>
          </w:p>
          <w:p>
            <w:r>
              <w:rPr>
                <w:rFonts w:ascii="Times New Roman" w:cs="Times New Roman" w:eastAsia="Times New Roman" w:hAnsi="Times New Roman"/>
                <w:i/>
                <w:iCs/>
                <w:sz w:val="20"/>
                <w:szCs w:val="20"/>
              </w:rPr>
              <w:t xml:space="preserve">Điều 18 khoản 2: </w:t>
            </w:r>
            <w:r>
              <w:rPr>
                <w:rFonts w:ascii="Times New Roman" w:cs="Times New Roman" w:eastAsia="Times New Roman" w:hAnsi="Times New Roman"/>
                <w:b/>
                <w:bCs/>
                <w:sz w:val="20"/>
                <w:szCs w:val="20"/>
              </w:rPr>
              <w:t xml:space="preserve">Bên tiếp nhận hoặc cơ quan tiếp nhận kiểm tra các nội dung về nguyên tắc bàn giao theo quy định tại Điều 5 Quy định này</w:t>
            </w:r>
            <w:r>
              <w:rPr>
                <w:rFonts w:ascii="Times New Roman" w:cs="Times New Roman" w:eastAsia="Times New Roman" w:hAnsi="Times New Roman"/>
                <w:i/>
                <w:iCs/>
                <w:sz w:val="20"/>
                <w:szCs w:val="20"/>
              </w:rPr>
              <w:t xml:space="preserve">, tổ chức kiểm tra để thực hiện đánh giá theo quy định tại Điều 19...</w:t>
            </w:r>
          </w:p>
          <w:p>
            <w:r>
              <w:rPr>
                <w:rFonts w:ascii="Times New Roman" w:cs="Times New Roman" w:eastAsia="Times New Roman" w:hAnsi="Times New Roman"/>
                <w:i/>
                <w:iCs/>
                <w:sz w:val="20"/>
                <w:szCs w:val="20"/>
              </w:rPr>
              <w:t xml:space="preserve">Điều 19: ...danh mục tài sản bàn giao theo quy định của </w:t>
            </w:r>
            <w:r>
              <w:rPr>
                <w:rFonts w:ascii="Times New Roman" w:cs="Times New Roman" w:eastAsia="Times New Roman" w:hAnsi="Times New Roman"/>
                <w:b/>
                <w:bCs/>
                <w:sz w:val="20"/>
                <w:szCs w:val="20"/>
              </w:rPr>
              <w:t xml:space="preserve">Nghị định số 186/2025/NĐ-CP</w:t>
            </w:r>
            <w:r>
              <w:rPr>
                <w:rFonts w:ascii="Times New Roman" w:cs="Times New Roman" w:eastAsia="Times New Roman" w:hAnsi="Times New Roman"/>
                <w:i/>
                <w:iCs/>
                <w:sz w:val="20"/>
                <w:szCs w:val="20"/>
              </w:rPr>
              <w:t xml:space="preserve">...</w:t>
            </w:r>
          </w:p>
          <w:p>
            <w:r>
              <w:rPr>
                <w:rFonts w:ascii="Times New Roman" w:cs="Times New Roman" w:eastAsia="Times New Roman" w:hAnsi="Times New Roman"/>
                <w:i/>
                <w:iCs/>
                <w:sz w:val="20"/>
                <w:szCs w:val="20"/>
              </w:rPr>
              <w:t xml:space="preserve">Điều 20 khoản 3: ...danh mục tài sản bàn giao theo quy định của </w:t>
            </w:r>
            <w:r>
              <w:rPr>
                <w:rFonts w:ascii="Times New Roman" w:cs="Times New Roman" w:eastAsia="Times New Roman" w:hAnsi="Times New Roman"/>
                <w:b/>
                <w:bCs/>
                <w:sz w:val="20"/>
                <w:szCs w:val="20"/>
              </w:rPr>
              <w:t xml:space="preserve">Nghị định số 186/2025/NĐ-CP</w:t>
            </w:r>
            <w:r>
              <w:rPr>
                <w:rFonts w:ascii="Times New Roman" w:cs="Times New Roman" w:eastAsia="Times New Roman" w:hAnsi="Times New Roman"/>
                <w:i/>
                <w:iCs/>
                <w:sz w:val="20"/>
                <w:szCs w:val="20"/>
              </w:rPr>
              <w:t xml:space="preserve">...</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VIII. Sửa đổi Điều 18, 19, 20</w:t>
            </w:r>
          </w:p>
          <w:p>
            <w:r>
              <w:rPr>
                <w:rFonts w:ascii="Times New Roman" w:cs="Times New Roman" w:eastAsia="Times New Roman" w:hAnsi="Times New Roman"/>
                <w:sz w:val="20"/>
                <w:szCs w:val="20"/>
              </w:rPr>
              <w:t xml:space="preserve">Điều 18 khoản 2: Bổ sung quy định bên tiếp nhận phải kiểm tra nguyên tắc bàn giao theo Điều 5 trước khi tiến hành đánh giá, tăng tính chặt chẽ trong quy trình kiểm tra.</w:t>
            </w:r>
          </w:p>
          <w:p>
            <w:r>
              <w:rPr>
                <w:rFonts w:ascii="Times New Roman" w:cs="Times New Roman" w:eastAsia="Times New Roman" w:hAnsi="Times New Roman"/>
                <w:sz w:val="20"/>
                <w:szCs w:val="20"/>
              </w:rPr>
              <w:t xml:space="preserve">Điều 19 và Điều 20 khoản 3: Cập nhật căn cứ từ Nghị định số 151/2017/NĐ-CP sang </w:t>
            </w:r>
            <w:r>
              <w:rPr>
                <w:rFonts w:ascii="Times New Roman" w:cs="Times New Roman" w:eastAsia="Times New Roman" w:hAnsi="Times New Roman"/>
                <w:b/>
                <w:bCs/>
                <w:sz w:val="20"/>
                <w:szCs w:val="20"/>
              </w:rPr>
              <w:t xml:space="preserve">Nghị định số 186/2025/NĐ-CP</w:t>
            </w:r>
            <w:r>
              <w:rPr>
                <w:rFonts w:ascii="Times New Roman" w:cs="Times New Roman" w:eastAsia="Times New Roman" w:hAnsi="Times New Roman"/>
                <w:sz w:val="20"/>
                <w:szCs w:val="20"/>
              </w:rPr>
              <w:t xml:space="preserve"> về quản lý, sử dụng tài sản công - là văn bản mới thay thế, quy định chi tiết hơn về danh mục tài sản bàn giao.</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Khoản 2 Điều 23. Trách nhiệm của bên tiếp nhận</w:t>
            </w:r>
          </w:p>
          <w:p>
            <w:r>
              <w:rPr>
                <w:rFonts w:ascii="Times New Roman" w:cs="Times New Roman" w:eastAsia="Times New Roman" w:hAnsi="Times New Roman"/>
                <w:i/>
                <w:iCs/>
                <w:sz w:val="20"/>
                <w:szCs w:val="20"/>
              </w:rPr>
              <w:t xml:space="preserve">(Chưa có quy định về báo cáo UBND tỉnh sau khi tiếp nhận tài sản và lập hồ sơ quản lý tài sản theo pháp luật tài sản công)</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Bổ sung điểm c khoản 2 Điều 23. Trách nhiệm của bên tiếp nhận</w:t>
            </w:r>
          </w:p>
          <w:p>
            <w:r>
              <w:rPr>
                <w:rFonts w:ascii="Times New Roman" w:cs="Times New Roman" w:eastAsia="Times New Roman" w:hAnsi="Times New Roman"/>
                <w:i/>
                <w:iCs/>
                <w:sz w:val="20"/>
                <w:szCs w:val="20"/>
              </w:rPr>
              <w:t xml:space="preserve">c) Sau khi thực hiện nhận bàn giao tài sản từ chủ đầu tư các dự án, bên tiếp nhận là </w:t>
            </w:r>
            <w:r>
              <w:rPr>
                <w:rFonts w:ascii="Times New Roman" w:cs="Times New Roman" w:eastAsia="Times New Roman" w:hAnsi="Times New Roman"/>
                <w:b/>
                <w:bCs/>
                <w:sz w:val="20"/>
                <w:szCs w:val="20"/>
              </w:rPr>
              <w:t xml:space="preserve">UBND các xã, phường</w:t>
            </w:r>
            <w:r>
              <w:rPr>
                <w:rFonts w:ascii="Times New Roman" w:cs="Times New Roman" w:eastAsia="Times New Roman" w:hAnsi="Times New Roman"/>
                <w:i/>
                <w:iCs/>
                <w:sz w:val="20"/>
                <w:szCs w:val="20"/>
              </w:rPr>
              <w:t xml:space="preserve"> có trách nhiệm báo cáo UBND tỉnh (đồng thời gửi Sở Xây dựng, Sở Tài chính) về việc tiếp nhận tài sản; lập hồ sơ quản lý tài sản theo quy định pháp luật về quản lý, sử dụng tài sản công.</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IX. Bổ sung điểm c khoản 2 Điều 23</w:t>
            </w:r>
          </w:p>
          <w:p>
            <w:r>
              <w:rPr>
                <w:rFonts w:ascii="Times New Roman" w:cs="Times New Roman" w:eastAsia="Times New Roman" w:hAnsi="Times New Roman"/>
                <w:sz w:val="20"/>
                <w:szCs w:val="20"/>
              </w:rPr>
              <w:t xml:space="preserve">Đây là quy định mới được bổ sung nhằm tăng cường trách nhiệm báo cáo và quản lý tài sản sau bàn giao. Theo đó, sau khi tiếp nhận tài sản, UBND cấp xã phải:</w:t>
            </w:r>
          </w:p>
          <w:p>
            <w:r>
              <w:rPr>
                <w:rFonts w:ascii="Times New Roman" w:cs="Times New Roman" w:eastAsia="Times New Roman" w:hAnsi="Times New Roman"/>
                <w:sz w:val="20"/>
                <w:szCs w:val="20"/>
              </w:rPr>
              <w:t xml:space="preserve">- Báo cáo UBND tỉnh (đồng thời gửi Sở Xây dựng, Sở Tài chính) về việc tiếp nhận.</w:t>
            </w:r>
          </w:p>
          <w:p>
            <w:r>
              <w:rPr>
                <w:rFonts w:ascii="Times New Roman" w:cs="Times New Roman" w:eastAsia="Times New Roman" w:hAnsi="Times New Roman"/>
                <w:sz w:val="20"/>
                <w:szCs w:val="20"/>
              </w:rPr>
              <w:t xml:space="preserve">- Lập hồ sơ quản lý tài sản theo pháp luật về quản lý, sử dụng tài sản công.</w:t>
            </w:r>
          </w:p>
          <w:p>
            <w:r>
              <w:rPr>
                <w:rFonts w:ascii="Times New Roman" w:cs="Times New Roman" w:eastAsia="Times New Roman" w:hAnsi="Times New Roman"/>
                <w:sz w:val="20"/>
                <w:szCs w:val="20"/>
              </w:rPr>
              <w:t xml:space="preserve">Bổ sung này đảm bảo tính minh bạch, giám sát từ cấp tỉnh đối với quá trình tiếp nhận và quản lý tài sản hạ tầng tại cấp xã.</w:t>
            </w:r>
          </w:p>
        </w:tc>
      </w:tr>
      <w:tr>
        <w:tc>
          <w:tcPr>
            <w:tcW w:type="dxa" w:w="29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2, Điều 3 (Quyết định số 47/2024/QĐ-UBND)</w:t>
            </w:r>
          </w:p>
          <w:p>
            <w:r>
              <w:rPr>
                <w:rFonts w:ascii="Times New Roman" w:cs="Times New Roman" w:eastAsia="Times New Roman" w:hAnsi="Times New Roman"/>
                <w:i/>
                <w:iCs/>
                <w:sz w:val="20"/>
                <w:szCs w:val="20"/>
              </w:rPr>
              <w:t xml:space="preserve">Điều 2: Quyết định này có hiệu lực từ ngày 25 tháng 11 năm 2024.</w:t>
            </w:r>
          </w:p>
          <w:p>
            <w:r>
              <w:rPr>
                <w:rFonts w:ascii="Times New Roman" w:cs="Times New Roman" w:eastAsia="Times New Roman" w:hAnsi="Times New Roman"/>
                <w:i/>
                <w:iCs/>
                <w:sz w:val="20"/>
                <w:szCs w:val="20"/>
              </w:rPr>
              <w:t xml:space="preserve">Điều 3: Chánh Văn phòng UBND tỉnh; Thủ trưởng các sở, ban, ngành; Chủ tịch </w:t>
            </w:r>
            <w:r>
              <w:rPr>
                <w:rFonts w:ascii="Times New Roman" w:cs="Times New Roman" w:eastAsia="Times New Roman" w:hAnsi="Times New Roman"/>
                <w:b/>
                <w:bCs/>
                <w:sz w:val="20"/>
                <w:szCs w:val="20"/>
              </w:rPr>
              <w:t xml:space="preserve">Ủy ban nhân dân các huyện, thành phố</w:t>
            </w:r>
            <w:r>
              <w:rPr>
                <w:rFonts w:ascii="Times New Roman" w:cs="Times New Roman" w:eastAsia="Times New Roman" w:hAnsi="Times New Roman"/>
                <w:i/>
                <w:iCs/>
                <w:sz w:val="20"/>
                <w:szCs w:val="20"/>
              </w:rPr>
              <w:t xml:space="preserve"> và các tổ chức, cá nhân có liên quan chịu trách nhiệm thi hành Quyết định này.</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Điều 2. Điều khoản thi hành (Dự thảo Quyết định sửa đổi)</w:t>
            </w:r>
          </w:p>
          <w:p>
            <w:r>
              <w:rPr>
                <w:rFonts w:ascii="Times New Roman" w:cs="Times New Roman" w:eastAsia="Times New Roman" w:hAnsi="Times New Roman"/>
                <w:i/>
                <w:iCs/>
                <w:sz w:val="20"/>
                <w:szCs w:val="20"/>
              </w:rPr>
              <w:t xml:space="preserve">1. Quyết định này có hiệu lực kể từ ngày 30 tháng 6 năm 2026.</w:t>
            </w:r>
          </w:p>
          <w:p>
            <w:r>
              <w:rPr>
                <w:rFonts w:ascii="Times New Roman" w:cs="Times New Roman" w:eastAsia="Times New Roman" w:hAnsi="Times New Roman"/>
                <w:i/>
                <w:iCs/>
                <w:sz w:val="20"/>
                <w:szCs w:val="20"/>
              </w:rPr>
              <w:t xml:space="preserve">2. Chánh Văn phòng UBND tỉnh; Thủ trưởng các sở, ban, ngành của tỉnh; Chủ tịch </w:t>
            </w:r>
            <w:r>
              <w:rPr>
                <w:rFonts w:ascii="Times New Roman" w:cs="Times New Roman" w:eastAsia="Times New Roman" w:hAnsi="Times New Roman"/>
                <w:b/>
                <w:bCs/>
                <w:sz w:val="20"/>
                <w:szCs w:val="20"/>
              </w:rPr>
              <w:t xml:space="preserve">Ủy ban nhân dân cấp xã</w:t>
            </w:r>
            <w:r>
              <w:rPr>
                <w:rFonts w:ascii="Times New Roman" w:cs="Times New Roman" w:eastAsia="Times New Roman" w:hAnsi="Times New Roman"/>
                <w:i/>
                <w:iCs/>
                <w:sz w:val="20"/>
                <w:szCs w:val="20"/>
              </w:rPr>
              <w:t xml:space="preserve"> và các tổ chức, cá nhân có liên quan chịu trách nhiệm thi hành Quyết định này.</w:t>
            </w:r>
          </w:p>
        </w:tc>
        <w:tc>
          <w:tcPr>
            <w:tcW w:type="dxa" w:w="3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Times New Roman" w:cs="Times New Roman" w:eastAsia="Times New Roman" w:hAnsi="Times New Roman"/>
                <w:b/>
                <w:bCs/>
                <w:sz w:val="20"/>
                <w:szCs w:val="20"/>
              </w:rPr>
              <w:t xml:space="preserve">X. Điều khoản thi hành</w:t>
            </w:r>
          </w:p>
          <w:p>
            <w:r>
              <w:rPr>
                <w:rFonts w:ascii="Times New Roman" w:cs="Times New Roman" w:eastAsia="Times New Roman" w:hAnsi="Times New Roman"/>
                <w:sz w:val="20"/>
                <w:szCs w:val="20"/>
              </w:rPr>
              <w:t xml:space="preserve">Giao trách nhiệm thi hành cho </w:t>
            </w:r>
            <w:r>
              <w:rPr>
                <w:rFonts w:ascii="Times New Roman" w:cs="Times New Roman" w:eastAsia="Times New Roman" w:hAnsi="Times New Roman"/>
                <w:b/>
                <w:bCs/>
                <w:sz w:val="20"/>
                <w:szCs w:val="20"/>
              </w:rPr>
              <w:t xml:space="preserve">Chủ tịch UBND cấp xã</w:t>
            </w:r>
            <w:r>
              <w:rPr>
                <w:rFonts w:ascii="Times New Roman" w:cs="Times New Roman" w:eastAsia="Times New Roman" w:hAnsi="Times New Roman"/>
                <w:sz w:val="20"/>
                <w:szCs w:val="20"/>
              </w:rPr>
              <w:t xml:space="preserve"> thay vì Chủ tịch UBND các huyện, thành phố, thống nhất với toàn bộ nội dung sửa đổi.</w:t>
            </w:r>
          </w:p>
          <w:p>
            <w:r>
              <w:rPr>
                <w:rFonts w:ascii="Times New Roman" w:cs="Times New Roman" w:eastAsia="Times New Roman" w:hAnsi="Times New Roman"/>
                <w:sz w:val="20"/>
                <w:szCs w:val="20"/>
              </w:rPr>
              <w:t xml:space="preserve">Quyết định có hiệu lực từ ngày 30/6/2026.</w:t>
            </w:r>
          </w:p>
        </w:tc>
      </w:tr>
    </w:tbl>
    <w:p>
      <w:pPr>
        <w:spacing w:after="0" w:before="400"/>
      </w:pPr>
    </w:p>
    <w:p>
      <w:pPr>
        <w:jc w:val="right"/>
      </w:pPr>
      <w:r>
        <w:rPr>
          <w:rFonts w:ascii="Times New Roman" w:cs="Times New Roman" w:eastAsia="Times New Roman" w:hAnsi="Times New Roman"/>
          <w:i/>
          <w:iCs/>
          <w:sz w:val="22"/>
          <w:szCs w:val="22"/>
        </w:rPr>
        <w:t xml:space="preserve">Thái Nguyên, ngày     tháng     năm 2026</w:t>
      </w:r>
    </w:p>
    <w:p>
      <w:pPr>
        <w:spacing w:before="200"/>
        <w:jc w:val="right"/>
      </w:pPr>
      <w:r>
        <w:rPr>
          <w:rFonts w:ascii="Times New Roman" w:cs="Times New Roman" w:eastAsia="Times New Roman" w:hAnsi="Times New Roman"/>
          <w:b/>
          <w:bCs/>
          <w:sz w:val="22"/>
          <w:szCs w:val="22"/>
        </w:rPr>
        <w:t xml:space="preserve">GIÁM ĐỐC SỞ XÂY DỰNG</w:t>
      </w:r>
    </w:p>
    <w:sectPr>
      <w:pgSz w:w="16838" w:h="11906" w:orient="portrait"/>
      <w:pgMar w:top="850" w:right="850" w:bottom="850"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2026-06-12T03:44:58.929Z</dcterms:created>
  <dcterms:modified xsi:type="dcterms:W3CDTF">2026-06-12T03:44:58.929Z</dcterms:modified>
</cp:coreProperties>
</file>

<file path=docProps/custom.xml><?xml version="1.0" encoding="utf-8"?>
<Properties xmlns="http://schemas.openxmlformats.org/officeDocument/2006/custom-properties" xmlns:vt="http://schemas.openxmlformats.org/officeDocument/2006/docPropsVTypes"/>
</file>